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75DC" w14:textId="2E6536C9" w:rsidR="004D1799" w:rsidRPr="00F1324F" w:rsidRDefault="004D1799">
      <w:pPr>
        <w:pStyle w:val="CLASSIFICAZIONEBODY1"/>
        <w:rPr>
          <w:rFonts w:ascii="Arial" w:hAnsi="Arial" w:cs="Arial"/>
        </w:rPr>
      </w:pPr>
    </w:p>
    <w:p w14:paraId="473B5994" w14:textId="25A7CB88" w:rsidR="0071227E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  <w:bookmarkStart w:id="0" w:name="BookmarkData"/>
      <w:bookmarkEnd w:id="0"/>
      <w:r>
        <w:rPr>
          <w:rFonts w:ascii="Arial" w:hAnsi="Arial" w:cs="Arial"/>
          <w:b/>
          <w:sz w:val="24"/>
        </w:rPr>
        <w:t>Versione 1.2</w:t>
      </w:r>
    </w:p>
    <w:p w14:paraId="4729E6DE" w14:textId="77777777" w:rsidR="00274789" w:rsidRPr="00F1324F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4AE868BE" w14:textId="4671D86B" w:rsidR="00EF5E05" w:rsidRPr="00F1324F" w:rsidRDefault="0016051B" w:rsidP="0016051B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F1324F">
        <w:rPr>
          <w:rFonts w:ascii="Arial" w:hAnsi="Arial" w:cs="Arial"/>
          <w:b/>
          <w:szCs w:val="20"/>
        </w:rPr>
        <w:t xml:space="preserve">ALLEGATO </w:t>
      </w:r>
      <w:r w:rsidR="00E16D23">
        <w:rPr>
          <w:rFonts w:ascii="Arial" w:hAnsi="Arial" w:cs="Arial"/>
          <w:b/>
          <w:szCs w:val="20"/>
        </w:rPr>
        <w:t>16</w:t>
      </w:r>
      <w:r w:rsidRPr="00F1324F">
        <w:rPr>
          <w:rFonts w:ascii="Arial" w:hAnsi="Arial" w:cs="Arial"/>
          <w:b/>
          <w:szCs w:val="20"/>
        </w:rPr>
        <w:t xml:space="preserve"> – </w:t>
      </w:r>
      <w:r w:rsidR="00EA3F41" w:rsidRPr="00F1324F">
        <w:rPr>
          <w:rFonts w:ascii="Arial" w:hAnsi="Arial" w:cs="Arial"/>
          <w:b/>
          <w:szCs w:val="20"/>
        </w:rPr>
        <w:t xml:space="preserve">Motivazioni </w:t>
      </w:r>
      <w:r w:rsidR="007C440D" w:rsidRPr="00F1324F">
        <w:rPr>
          <w:rFonts w:ascii="Arial" w:hAnsi="Arial" w:cs="Arial"/>
          <w:b/>
          <w:szCs w:val="20"/>
        </w:rPr>
        <w:t>de</w:t>
      </w:r>
      <w:r w:rsidR="00EA3F41" w:rsidRPr="00F1324F">
        <w:rPr>
          <w:rFonts w:ascii="Arial" w:hAnsi="Arial" w:cs="Arial"/>
          <w:b/>
          <w:szCs w:val="20"/>
        </w:rPr>
        <w:t>l ribasso del costo della manodopera</w:t>
      </w:r>
    </w:p>
    <w:p w14:paraId="51072307" w14:textId="77777777" w:rsidR="00185EC3" w:rsidRPr="00F1324F" w:rsidRDefault="00185EC3" w:rsidP="00645BCD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4F79285D" w14:textId="2CC06CB4" w:rsidR="00FF761B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</w:p>
    <w:p w14:paraId="4B6AB368" w14:textId="661C7FD1" w:rsidR="00F133D9" w:rsidRPr="0044648E" w:rsidRDefault="00FF761B" w:rsidP="0044648E">
      <w:pPr>
        <w:pStyle w:val="Paragrafoelenco"/>
        <w:numPr>
          <w:ilvl w:val="0"/>
          <w:numId w:val="31"/>
        </w:numPr>
        <w:snapToGrid w:val="0"/>
        <w:rPr>
          <w:rFonts w:ascii="Arial" w:hAnsi="Arial" w:cs="Arial"/>
          <w:i/>
          <w:iCs/>
          <w:sz w:val="20"/>
          <w:szCs w:val="20"/>
        </w:rPr>
      </w:pPr>
      <w:r w:rsidRPr="0044648E">
        <w:rPr>
          <w:rFonts w:ascii="Arial" w:hAnsi="Arial" w:cs="Arial"/>
          <w:i/>
          <w:iCs/>
          <w:sz w:val="20"/>
          <w:szCs w:val="20"/>
        </w:rPr>
        <w:t>O</w:t>
      </w:r>
      <w:r w:rsidR="00F133D9" w:rsidRPr="0044648E">
        <w:rPr>
          <w:rFonts w:ascii="Arial" w:hAnsi="Arial" w:cs="Arial"/>
          <w:i/>
          <w:iCs/>
          <w:sz w:val="20"/>
          <w:szCs w:val="20"/>
        </w:rPr>
        <w:t>re/giornate lavorative previste sulla base dell’</w:t>
      </w:r>
      <w:proofErr w:type="spellStart"/>
      <w:r w:rsidR="00F133D9" w:rsidRPr="0044648E">
        <w:rPr>
          <w:rFonts w:ascii="Arial" w:hAnsi="Arial" w:cs="Arial"/>
          <w:i/>
          <w:iCs/>
          <w:sz w:val="20"/>
          <w:szCs w:val="20"/>
        </w:rPr>
        <w:t>effort</w:t>
      </w:r>
      <w:proofErr w:type="spellEnd"/>
      <w:r w:rsidR="00F133D9" w:rsidRPr="0044648E">
        <w:rPr>
          <w:rFonts w:ascii="Arial" w:hAnsi="Arial" w:cs="Arial"/>
          <w:i/>
          <w:iCs/>
          <w:sz w:val="20"/>
          <w:szCs w:val="20"/>
        </w:rPr>
        <w:t xml:space="preserve"> stimato da Consip di cui al par. </w:t>
      </w:r>
      <w:r w:rsidR="00853A23" w:rsidRPr="0044648E">
        <w:rPr>
          <w:rFonts w:ascii="Arial" w:hAnsi="Arial" w:cs="Arial"/>
          <w:i/>
          <w:iCs/>
          <w:sz w:val="20"/>
          <w:szCs w:val="20"/>
        </w:rPr>
        <w:t>3</w:t>
      </w:r>
      <w:r w:rsidR="00FC3E14" w:rsidRPr="0044648E">
        <w:rPr>
          <w:rFonts w:ascii="Arial" w:hAnsi="Arial" w:cs="Arial"/>
          <w:i/>
          <w:iCs/>
          <w:sz w:val="20"/>
          <w:szCs w:val="20"/>
        </w:rPr>
        <w:t>;</w:t>
      </w:r>
    </w:p>
    <w:p w14:paraId="5771811C" w14:textId="6E6069F6" w:rsidR="00F133D9" w:rsidRPr="00F1324F" w:rsidRDefault="00F133D9" w:rsidP="0044648E">
      <w:pPr>
        <w:pStyle w:val="Paragrafoelenco"/>
        <w:widowControl w:val="0"/>
        <w:numPr>
          <w:ilvl w:val="0"/>
          <w:numId w:val="31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4D8015C5" w:rsidR="00F133D9" w:rsidRPr="00F1324F" w:rsidRDefault="00F133D9" w:rsidP="0044648E">
      <w:pPr>
        <w:pStyle w:val="Paragrafoelenco"/>
        <w:widowControl w:val="0"/>
        <w:numPr>
          <w:ilvl w:val="0"/>
          <w:numId w:val="31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44648E">
      <w:pPr>
        <w:pStyle w:val="Paragrafoelenco"/>
        <w:widowControl w:val="0"/>
        <w:numPr>
          <w:ilvl w:val="0"/>
          <w:numId w:val="31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44648E">
      <w:pPr>
        <w:pStyle w:val="Paragrafoelenco"/>
        <w:widowControl w:val="0"/>
        <w:numPr>
          <w:ilvl w:val="0"/>
          <w:numId w:val="31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3B82211B" w14:textId="77777777" w:rsidR="007C440D" w:rsidRPr="00F1324F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</w:rPr>
      </w:pPr>
    </w:p>
    <w:p w14:paraId="0A3CE367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C8AA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91321D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3C7ADF" w14:textId="77777777" w:rsidR="00FC3E14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47B2ED1A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81C5603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2883020F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675E5D5E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791B2C4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ED2856F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46F48863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2A4D8161" w14:textId="77777777" w:rsidR="00695EFB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423BBE2C" w14:textId="77777777" w:rsidR="00695EFB" w:rsidRPr="00F1324F" w:rsidRDefault="00695EF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5428C0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0B0967B2" w14:textId="77777777" w:rsidR="00D77081" w:rsidRDefault="00D77081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48099359" w14:textId="77777777" w:rsidR="00D77081" w:rsidRDefault="00D77081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02DBDF13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5F400" w14:textId="77777777" w:rsidR="00453176" w:rsidRDefault="00453176" w:rsidP="00816101">
      <w:r>
        <w:separator/>
      </w:r>
    </w:p>
  </w:endnote>
  <w:endnote w:type="continuationSeparator" w:id="0">
    <w:p w14:paraId="2427440D" w14:textId="77777777" w:rsidR="00453176" w:rsidRDefault="00453176" w:rsidP="00816101">
      <w:r>
        <w:continuationSeparator/>
      </w:r>
    </w:p>
  </w:endnote>
  <w:endnote w:type="continuationNotice" w:id="1">
    <w:p w14:paraId="3D5A2B6B" w14:textId="77777777" w:rsidR="00453176" w:rsidRDefault="0045317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2CAF" w14:textId="64DA898C" w:rsidR="004D1799" w:rsidRDefault="004D1799">
    <w:pPr>
      <w:pStyle w:val="CLASSIFICAZIONEFOOTER1"/>
    </w:pPr>
  </w:p>
  <w:p w14:paraId="100F703C" w14:textId="77777777" w:rsidR="00D77081" w:rsidRPr="006B6474" w:rsidRDefault="00D77081" w:rsidP="00D77081">
    <w:pPr>
      <w:pStyle w:val="Pidipagina"/>
      <w:spacing w:line="240" w:lineRule="auto"/>
      <w:rPr>
        <w:b/>
      </w:rPr>
    </w:pPr>
    <w:r>
      <w:t xml:space="preserve">Moduli di dichiarazione - </w:t>
    </w:r>
    <w:r w:rsidRPr="006B6474">
      <w:t>Gara a procedura aperta ai sensi del D.Lgs</w:t>
    </w:r>
    <w:r>
      <w:t>36/2023</w:t>
    </w:r>
    <w:r w:rsidRPr="006B6474">
      <w:t xml:space="preserve">. </w:t>
    </w:r>
    <w:r w:rsidRPr="00E2423E">
      <w:t>per la fornitura in acquisto di tecnologie server e dei servizi</w:t>
    </w:r>
    <w:r>
      <w:t xml:space="preserve"> </w:t>
    </w:r>
    <w:r w:rsidRPr="00E2423E">
      <w:t xml:space="preserve">connessi ed opzionali per le pubbliche amministrazioni – </w:t>
    </w:r>
    <w:r>
      <w:t>ID 2878</w:t>
    </w:r>
  </w:p>
  <w:p w14:paraId="67C77E33" w14:textId="77777777" w:rsidR="000A1DEA" w:rsidRDefault="000A1D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4C2A" w14:textId="77777777" w:rsidR="00453176" w:rsidRDefault="00453176" w:rsidP="00816101">
      <w:r>
        <w:separator/>
      </w:r>
    </w:p>
  </w:footnote>
  <w:footnote w:type="continuationSeparator" w:id="0">
    <w:p w14:paraId="77B7CAB8" w14:textId="77777777" w:rsidR="00453176" w:rsidRDefault="00453176" w:rsidP="00816101">
      <w:r>
        <w:continuationSeparator/>
      </w:r>
    </w:p>
  </w:footnote>
  <w:footnote w:type="continuationNotice" w:id="1">
    <w:p w14:paraId="64585BBE" w14:textId="77777777" w:rsidR="00453176" w:rsidRDefault="0045317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4AD8126B" w:rsidR="00EE6390" w:rsidRDefault="00EE6390" w:rsidP="00816101">
    <w:pPr>
      <w:pStyle w:val="Intestazione"/>
    </w:pP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20F1680"/>
    <w:multiLevelType w:val="hybridMultilevel"/>
    <w:tmpl w:val="A6B89502"/>
    <w:lvl w:ilvl="0" w:tplc="4D762F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7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67189"/>
    <w:multiLevelType w:val="hybridMultilevel"/>
    <w:tmpl w:val="A81228FA"/>
    <w:lvl w:ilvl="0" w:tplc="4D762F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6"/>
  </w:num>
  <w:num w:numId="9" w16cid:durableId="146871076">
    <w:abstractNumId w:val="22"/>
  </w:num>
  <w:num w:numId="10" w16cid:durableId="941255410">
    <w:abstractNumId w:val="25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9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8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7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31"/>
  </w:num>
  <w:num w:numId="30" w16cid:durableId="1794710092">
    <w:abstractNumId w:val="30"/>
  </w:num>
  <w:num w:numId="31" w16cid:durableId="1511066456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48E"/>
    <w:rsid w:val="0044663A"/>
    <w:rsid w:val="004468DB"/>
    <w:rsid w:val="00447EE5"/>
    <w:rsid w:val="004507D6"/>
    <w:rsid w:val="00450DAF"/>
    <w:rsid w:val="00451BEF"/>
    <w:rsid w:val="00451BF0"/>
    <w:rsid w:val="00453176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065F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36D8C"/>
    <w:rsid w:val="00640659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5EFB"/>
    <w:rsid w:val="00696432"/>
    <w:rsid w:val="00696523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3A23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299B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081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6D23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12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Sparro Marco</dc:creator>
  <cp:keywords/>
  <cp:lastModifiedBy>Filippone Giovanna</cp:lastModifiedBy>
  <cp:revision>16</cp:revision>
  <cp:lastPrinted>2018-01-17T13:34:00Z</cp:lastPrinted>
  <dcterms:created xsi:type="dcterms:W3CDTF">2025-06-20T16:27:00Z</dcterms:created>
  <dcterms:modified xsi:type="dcterms:W3CDTF">2025-09-26T07:32:00Z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</Properties>
</file>